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DE3" w:rsidRPr="00BE6FA1" w:rsidRDefault="00FD3FB3" w:rsidP="00BE6FA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b/>
          <w:sz w:val="28"/>
          <w:szCs w:val="28"/>
          <w:lang w:val="ru-RU"/>
        </w:rPr>
        <w:t>Материалы о необходимости проведения вакцинопрофилактики инфекционных болезней среди детей и подростков</w:t>
      </w:r>
    </w:p>
    <w:p w:rsidR="00B63DE3" w:rsidRPr="00BE6FA1" w:rsidRDefault="00FD3FB3" w:rsidP="00BE6FA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>Эпидемическая ситуация в мире никогда не была спокойной. Все время наблюдались вспышки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 xml:space="preserve"> инфекционных заболеваний и появлялись новые виды заразных болезней, а в последние годы происходит возвращение «старых» инфекций.</w:t>
      </w:r>
    </w:p>
    <w:p w:rsidR="00B63DE3" w:rsidRPr="00BE6FA1" w:rsidRDefault="00FD3FB3" w:rsidP="00BE6FA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>Инфекционные болезни возникли задолго до появления человека. На костях динозавров, мамонтов, пещерных медведей и других древни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>х животных имеются следы остеомиелита. Из предков человека инфекционные поражения костей отмечены у питекантропов с острова Ява, живших 1—2 млн лет тому назад. Таким образом, человечество еще на заре своего существования встречалось с многочисленными инфек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>ционными болезнями. По мере возникновения общества и развития социального образа жизни человека многие инфекции получили широкое распространение.</w:t>
      </w:r>
    </w:p>
    <w:p w:rsidR="00B63DE3" w:rsidRPr="00BE6FA1" w:rsidRDefault="00FD3FB3" w:rsidP="00BE6FA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 xml:space="preserve">За последние 40 лет выявлено более 30 новых нозологических форм инфекционных заболеваний (болезнь легионеров, 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>геморрагические лихорадки Эбола и Марбург, вирусные гепатиты С, Ри Е, ВИЧ-инфекция, микоплазменные и прионные заболевания и др.).</w:t>
      </w:r>
    </w:p>
    <w:p w:rsidR="00B63DE3" w:rsidRPr="00BE6FA1" w:rsidRDefault="00FD3FB3" w:rsidP="00BE6FA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>Причиной возвращения «старых» инфекций (например, кори, коклюша, бешенства и др.) является целый комплекс факторов: миграция и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 xml:space="preserve"> рост численности населения, урбанизация, скученность, низкий уровень жизни, изменение экологии, климата, туризм, санитарно-гигиенические условия, генетическая устойчивость микроорганизмов, отказ от вакцинации и другие факторы.</w:t>
      </w:r>
    </w:p>
    <w:p w:rsidR="00B63DE3" w:rsidRPr="00BE6FA1" w:rsidRDefault="00FD3FB3" w:rsidP="00BE6FA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>На подъем инфекционной забол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>еваемости в последние годы в России повлияли дополнительные факторы: отказ и необоснованный отвод от вакцинации, широкая кампания против вакцинации (активизация антивакцинального лобби).</w:t>
      </w:r>
    </w:p>
    <w:p w:rsidR="00B63DE3" w:rsidRPr="00BE6FA1" w:rsidRDefault="00FD3FB3" w:rsidP="00BE6FA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 xml:space="preserve">Хорошо известно, что профилактика является самым эффективным и самым 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>экономичным способом сохранения здоровья людей. Существует три направления профилактических мероприятий инфекционных заболеваний:</w:t>
      </w:r>
    </w:p>
    <w:p w:rsidR="00B63DE3" w:rsidRPr="00BE6FA1" w:rsidRDefault="00FD3FB3" w:rsidP="00BE6FA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>воздействие на источник инфекции - обезвреживание его (дезинфекция, дезинсекция (уничтожение насекомых) и дератизации (уничтож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>ение грызунов));</w:t>
      </w:r>
    </w:p>
    <w:p w:rsidR="00B63DE3" w:rsidRPr="00BE6FA1" w:rsidRDefault="00FD3FB3" w:rsidP="00BE6FA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FA1">
        <w:rPr>
          <w:rFonts w:ascii="Times New Roman" w:hAnsi="Times New Roman" w:cs="Times New Roman"/>
          <w:sz w:val="28"/>
          <w:szCs w:val="28"/>
        </w:rPr>
        <w:t>разрыв путей передачи инфекции;</w:t>
      </w:r>
    </w:p>
    <w:p w:rsidR="00B63DE3" w:rsidRPr="00BE6FA1" w:rsidRDefault="00FD3FB3" w:rsidP="00BE6FA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>повышение невосприимчивости людей к инфекционным заболеваниям (иммунопрофилактика).</w:t>
      </w:r>
    </w:p>
    <w:p w:rsidR="00B63DE3" w:rsidRPr="00BE6FA1" w:rsidRDefault="00FD3FB3" w:rsidP="00BE6FA1">
      <w:pPr>
        <w:pStyle w:val="FirstParagraph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Важнейшее значение имеют своевременное выявление инфекционных больных, ранняя их изоляция и госпитализация. Разорвать путь 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>передачи инфекции возможно соблюдением правил личной и общественной гигиены.</w:t>
      </w:r>
    </w:p>
    <w:p w:rsidR="00B63DE3" w:rsidRPr="00BE6FA1" w:rsidRDefault="00FD3FB3" w:rsidP="00BE6FA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 xml:space="preserve">Профилактические мероприятия, связанные с повышением невосприимчивости людей к инфекционным заболеваниям, достигаются с помощью так называемого искусственного иммунитета, который 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>создается путем введения (прививки) в организм здоровых людей вакцин и анатоксинов.</w:t>
      </w:r>
    </w:p>
    <w:p w:rsidR="00B63DE3" w:rsidRPr="00BE6FA1" w:rsidRDefault="00FD3FB3" w:rsidP="00BE6FA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>На 1 января 2004 года медицина располагала 100 вакцинами от 40 инфекций и каждое десятилетие приносит всё новые достижения вакцинопрофилактики.</w:t>
      </w:r>
    </w:p>
    <w:p w:rsidR="00B63DE3" w:rsidRPr="00BE6FA1" w:rsidRDefault="00FD3FB3" w:rsidP="00BE6FA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:rsidR="00B63DE3" w:rsidRPr="00BE6FA1" w:rsidRDefault="00FD3FB3" w:rsidP="00BE6FA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>В настоящее время в соотве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>тствии с федеральным законом от 17.09.1998 № 157-ФЗ «Об иммунопрофилактике инфекционных болезней» вакцинация является частью государственной политики в области здравоохранения.</w:t>
      </w:r>
    </w:p>
    <w:p w:rsidR="00B63DE3" w:rsidRPr="00BE6FA1" w:rsidRDefault="00FD3FB3" w:rsidP="00BE6FA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>Бесплатная вакцинация в Российской Федерации осуществляется в соответствии с На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>циональным календарем профилактических прививок, утвержденным приказом Министерства здравоохранения Российской Федерации от 21.03.2014 № 125н «Об утверждении национального календаря профилактических прививок и календаря профилактических прививок по эпидеми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>ческим показаниям».</w:t>
      </w:r>
    </w:p>
    <w:p w:rsidR="00B63DE3" w:rsidRPr="00BE6FA1" w:rsidRDefault="00FD3FB3" w:rsidP="00BE6FA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 xml:space="preserve">Прививочный календарь разрабатывается с учетом всех возрастных особенностей, в том числе и наиболее опасных инфекционных заболеваний у детей первого года жизни. Прививки, которые делаются в рамках Национального 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>календаря, позволяют значительно снизить риск заболевания у детей. А если ребенок все же заболеет, то сделанная прививка будет способствовать протеканию болезни в более легкой форме и избавит от тяжелых осложнений, многие из которых крайне опасны для жизни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3DE3" w:rsidRPr="00BE6FA1" w:rsidRDefault="00FD3FB3" w:rsidP="00BE6FA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>Календарь прививок состоит из двух разделов:</w:t>
      </w:r>
    </w:p>
    <w:p w:rsidR="00B63DE3" w:rsidRPr="00BE6FA1" w:rsidRDefault="00FD3FB3" w:rsidP="00BE6FA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 xml:space="preserve">национальный календарь профилактических прививок, предусматривающий вакцинацию против 12 инфекционных заболеваний (гепатита В, туберкулёз, полиомиелит, коклюш, дифтерия, столбняк, корь, эпидемический паротит, 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>краснуха, грипп, пневмококковая инфекция, гемофильная инфекция (для детей из групп риска);</w:t>
      </w:r>
    </w:p>
    <w:p w:rsidR="00B63DE3" w:rsidRPr="00BE6FA1" w:rsidRDefault="00FD3FB3" w:rsidP="00BE6FA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>календарь прививок по эпидемическим показаниям — против природно- очаговых инфекций (клещевой энцефалит, лептоспироз и др.) и зоонозных инфекций (бруцеллез, туляреми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 xml:space="preserve">я, сибирская язва). К этой же категории могут быть отнесены прививки, проводимые в группах риска — лицам как с высокой возможностью заражения, так и с высокой опасностью для 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lastRenderedPageBreak/>
        <w:t>окружающих в случае их заболевания (к таким заболеваниям относятся гепатит А, брюш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>ной тиф, холера).</w:t>
      </w:r>
    </w:p>
    <w:p w:rsidR="00B63DE3" w:rsidRPr="00BE6FA1" w:rsidRDefault="00FD3FB3" w:rsidP="00BE6FA1">
      <w:pPr>
        <w:pStyle w:val="FirstParagraph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>Календарь прививок — это минимальная, так называемая, обязательная схема, предусмотренная для всех детей Российской Федерации. Но кроме обязательных прививок, существует и другие — дополнительные, которые зачастую не менее необходимы совр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>еменному ребенку.</w:t>
      </w:r>
    </w:p>
    <w:p w:rsidR="00B63DE3" w:rsidRPr="00BE6FA1" w:rsidRDefault="00FD3FB3" w:rsidP="00BE6FA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>В связи с этим, на территории Свердловской области утвержден региональный календарь прививок (Приказ Министерства здравоохранения Свердловской области № 1895-п, Управления Роспотребнадзора по Свердловской области № 01-01-01-01/393 от 01.1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>1.2017 «Об утверждении регионального календаря профилактических прививок Свердловской области»), в котором дополнительно к вакцинации, проводимой в рамках национального календаря прививок, предусмотрена вакцинация детей против — ротовирусной, менингококков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>ой, папиллома-вирусной инфекции, гепатита А, клещевого энцефалита, ветряной оспы, а также ревакцинация против коклюша в возрасте 6-7 лет.</w:t>
      </w:r>
    </w:p>
    <w:p w:rsidR="00B63DE3" w:rsidRPr="00BE6FA1" w:rsidRDefault="00FD3FB3" w:rsidP="00BE6FA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>В настоящее время все больше людей с детьми выезжают с туристической целью в другие регионы и за пределы Российской Фе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>дерации. В связи с этим, все</w:t>
      </w:r>
    </w:p>
    <w:p w:rsidR="00B63DE3" w:rsidRPr="00BE6FA1" w:rsidRDefault="00FD3FB3" w:rsidP="00BE6FA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>большее значение приобретает необходимость заблаговременно вакцинироваться против инфекций, характерных для данного региона (клещевой энцефалит, брюшной тиф, туляремия, желтая лихорадка и др.).</w:t>
      </w:r>
    </w:p>
    <w:p w:rsidR="00B63DE3" w:rsidRPr="00BE6FA1" w:rsidRDefault="00FD3FB3" w:rsidP="00BE6FA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>Вакцины взаимодействуют с иммунно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>й системой, в результате чего формируется иммунный ответ, аналогичный иммунной реакции на естественную инфекцию, но без развития заболевания или риска возникновения у привитого потенциальных осложнений. Напротив, цена формирования иммунитета путем заражени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>я естественной инфекцией может оказаться слишком высока: заражение гемофильной инфекцией может обернуться нарушениями со стороны центральной нервной системы, краснуха — врожденными дефектами, инфекция гепатита В — раком печени, а осложнения кори — летальны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>м исходом.</w:t>
      </w:r>
    </w:p>
    <w:p w:rsidR="00B63DE3" w:rsidRPr="00BE6FA1" w:rsidRDefault="00FD3FB3" w:rsidP="00BE6FA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 xml:space="preserve">Вакцины безопасны. Любая лицензированная вакцина проходит тщательную проверку в рамках нескольких этапов испытаний и только после этого признается пригодной к использованию. В большинстве случаев реакции на вакцинацию, например, боль в руке или 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>несколько повышенная температура, как правило, незначительны и быстро проходят. В тех редких случаях, когда имеют место серьезные побочные эффекты, немедленно проводится расследование. Гораздо выше вероятность серьезно пострадать от болезни, предупреждаемо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 xml:space="preserve">й вакцинацией, чем от самой вакцины. Например, при 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lastRenderedPageBreak/>
        <w:t>заболевании полиомиелитом может развиться паралич, корь может вызвать энцефалит и слепоту, а некоторые заболевания, предупреждаемые вакцинацией, могут даже привести к смерти. Преимущества вакцинации значит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>ельно перевешивают риски, и без вакцинации случаев болезни и смерти было бы намного больше.</w:t>
      </w:r>
    </w:p>
    <w:p w:rsidR="00B63DE3" w:rsidRPr="00BE6FA1" w:rsidRDefault="00FD3FB3" w:rsidP="00BE6FA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>Не следует бояться вакцинации, надо грамотно и серьезно относиться к этой важной мере защиты Вашего здоровья.</w:t>
      </w:r>
    </w:p>
    <w:p w:rsidR="00B63DE3" w:rsidRPr="00BE6FA1" w:rsidRDefault="00FD3FB3" w:rsidP="00BE6FA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B63DE3" w:rsidRPr="00BE6FA1" w:rsidRDefault="00FD3FB3" w:rsidP="00BE6FA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 xml:space="preserve">Материалы о необходимости проведения профилактики и 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>раннего выявления туберкулёза среди населения</w:t>
      </w:r>
    </w:p>
    <w:p w:rsidR="00B63DE3" w:rsidRPr="00BE6FA1" w:rsidRDefault="00FD3FB3" w:rsidP="00BE6FA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>Туберкулез является в мире широко распространенным инфекционным заболеванием человека и животных, вызываемым микобактериями туберкулезного комплекса (Мусобацегат (1егс! 0515 сотрех-МТВС), преимущественно МусоБа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>метит шьЬегси1о$15. Синонимы: Микобактерия туберкулёза, туберкулёзная палочка, палочка Коха, бацилла Коха, туберкулёзная бацилла.</w:t>
      </w:r>
    </w:p>
    <w:p w:rsidR="00B63DE3" w:rsidRPr="00BE6FA1" w:rsidRDefault="00FD3FB3" w:rsidP="00BE6FA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>Источник изображений: Мона о Неа! $степсе и Ка/МИКЕас5.сот</w:t>
      </w:r>
    </w:p>
    <w:p w:rsidR="00B63DE3" w:rsidRPr="00BE6FA1" w:rsidRDefault="00FD3FB3" w:rsidP="00BE6FA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>Возбудители туберкулеза сохраняют свою жизнеспособность в сухом сос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>тоянии до 3 лет, при нагревании выдерживают температуру выше 80 °С (микобактерии туберкулеза, находящиеся в мокроте, выживают при кипячении в пределах 5 минут, устойчивы к органическим и неорганическим кислотам, щелочам, многим окислителям, проявляют устой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>чивость к воздействию спиртов, ацетона, четвертичных аммониевых соединений (ЧАС), нечувствительны к рассеянному солнечному свету).</w:t>
      </w:r>
    </w:p>
    <w:p w:rsidR="00B63DE3" w:rsidRPr="00BE6FA1" w:rsidRDefault="00FD3FB3" w:rsidP="00BE6FA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>Источником инфекции являются больные активной формой туберкулеза люди (99%) и животные (крупный рогатый скот, козы, собаки не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 xml:space="preserve"> более 1% случаев). Эпидемиологически наиболее опасными являются больные туберкулезом легких с наличием бактериовыделения (так называемая «открытая форма» туберкулёза) и/или с деструктивными процессами (полостями распада) в легких.</w:t>
      </w:r>
    </w:p>
    <w:p w:rsidR="00B63DE3" w:rsidRPr="00BE6FA1" w:rsidRDefault="00FD3FB3" w:rsidP="00BE6FA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 xml:space="preserve">Резервуар туберкулезной 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>инфекции - больные туберкулезом и инфицированные микобактерией туберкулеза люди, животные и птицы.</w:t>
      </w:r>
    </w:p>
    <w:p w:rsidR="00B63DE3" w:rsidRPr="00BE6FA1" w:rsidRDefault="00FD3FB3" w:rsidP="00BE6FA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>Основным механизмом передачи возбудителя инфекции является воздушно-капельный (аэрозольный). Возможны также воздушно-пылевой, контактный, алиментарный, верти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>кальный механизмы передачи.</w:t>
      </w:r>
    </w:p>
    <w:p w:rsidR="00B63DE3" w:rsidRPr="00BE6FA1" w:rsidRDefault="00FD3FB3" w:rsidP="00BE6FA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 xml:space="preserve">Основным фактором передачи возбудителя туберкулезной инфекции является воздушная среда. Факторами передачи инфекции могут также являться 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lastRenderedPageBreak/>
        <w:t>инфицированные материалы от больных, контаминированные возбудителем объекты внешней среды (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>постельное бельё, предметы одежды, средства гигиены и т.п.).</w:t>
      </w:r>
    </w:p>
    <w:p w:rsidR="00B63DE3" w:rsidRPr="00BE6FA1" w:rsidRDefault="00B63DE3" w:rsidP="00BE6FA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63DE3" w:rsidRPr="00BE6FA1" w:rsidRDefault="00FD3FB3" w:rsidP="00BE6FA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>Но данным Всемирной организации здравоохранения (ВОЗ), ежегодно в мире заболевает туберкулёзом около 10 миллионов человек (в том числе 1 млн. детей) и до 1,3 млн. человек умирает от туберкулёза.</w:t>
      </w:r>
    </w:p>
    <w:p w:rsidR="00B63DE3" w:rsidRPr="00BE6FA1" w:rsidRDefault="00FD3FB3" w:rsidP="00BE6FA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>В мире проживают 1,7 миллиарда человек (или более 1/3 населения Земли), инфицированных туберкулёзом.</w:t>
      </w:r>
    </w:p>
    <w:p w:rsidR="00B63DE3" w:rsidRPr="00BE6FA1" w:rsidRDefault="00FD3FB3" w:rsidP="00BE6FA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>Несмотря на то, что на протяжении последних лет в Свердловской области отмечается положительная тенденция к снижению заболеваемости населения туберкулёзом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>, ситуация остаётся напряжённой, так как число заболевших ещё превышает уровень Российской Федерации. Таким образом, сохраняется риск инфицирования и заболевания туберкулёзом среди всех групп населения и, особенно, среди детей и подростков.</w:t>
      </w:r>
    </w:p>
    <w:p w:rsidR="00B63DE3" w:rsidRPr="00BE6FA1" w:rsidRDefault="00FD3FB3" w:rsidP="00BE6FA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>На сегодняшний день до 70-80% лиц старше 30 лет уже инфицированы палочкой Коха или микобактерией — возбудителем туберкулёза, который может активироваться и привести к развитию болезни. Активация туберкулёза происходит в результате снижения защитных сил орг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>анизма при воздействия на него неблагоприятных факторов, таких как курение, употребление алкоголя и наркотиков, ВИЧ, запущенные острые и хронические заболевания (грипп, сахарный диабет, болезни органов дыхания и пищеварения и т.п.), пониженное питание, пер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>еохлаждение, хронический стресс и, конечно же, повторное инфицирование микобактериями в результате тесного контакта с больным туберкулёзом бактериовыделителем (с открытой формой туберкулёза).</w:t>
      </w:r>
    </w:p>
    <w:p w:rsidR="00B63DE3" w:rsidRPr="00BE6FA1" w:rsidRDefault="00FD3FB3" w:rsidP="00BE6FA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>Как в Российской Федерации, так и в Свердловской области действу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>ет многоуровневая система мероприятий, направленная на предотвращение распространения туберкулёза среди населения, включающая профилактику, выявление и лечение заболевания.</w:t>
      </w:r>
    </w:p>
    <w:p w:rsidR="00B63DE3" w:rsidRPr="00BE6FA1" w:rsidRDefault="00FD3FB3" w:rsidP="00BE6FA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>Вакцинация БЦЖ, которая является обязательной, позволяет снизить в 15 раз риск инфи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>цирования и в 8 раз риск заболевания туберкулёзом, и предотвратить развитие опасных и летальных форм заболевания среди детского населения. Вакцинация БЦЖ включена в Национальный календарь профилактических прививок Российской Федерации и Свердловской област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>и и показана каждому новорожденному в роддоме на 3 - 7 сутки жизни.</w:t>
      </w:r>
    </w:p>
    <w:p w:rsidR="00B63DE3" w:rsidRPr="00BE6FA1" w:rsidRDefault="00FD3FB3" w:rsidP="00BE6FA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 xml:space="preserve">Для своевременного выявления инфицирования микобактериями туберкулёза с целью проведения профилактических мероприятий, предотвращающих 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lastRenderedPageBreak/>
        <w:t>развитие заболевания, ежегодно проводятся массовое об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>следование детского населения с применением кожных иммунодиагностических проб, таких как проба с туберкулином (проба Манту) и проба с аллергеном туберкулёзным рекомбинантным (Диаскинтест).</w:t>
      </w:r>
    </w:p>
    <w:p w:rsidR="00B63DE3" w:rsidRPr="00BE6FA1" w:rsidRDefault="00FD3FB3" w:rsidP="00BE6FA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>Вакцинированным против туберкулеза детям с 12-месячного возраста до 7 лет включительно, проводят внутрикожную аллергическую пробу с туберкулином (далее - проба Манту) 1 раз в год. С 8 лет и до достижения возраста 18 лет — внутрикожную — аллергическую пробу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 xml:space="preserve"> с —аллергеном туберкулёзным рекомбинантным (далее - Диаскинтест).</w:t>
      </w:r>
    </w:p>
    <w:p w:rsidR="00B63DE3" w:rsidRPr="00BE6FA1" w:rsidRDefault="00FD3FB3" w:rsidP="00BE6FA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>Два раза в год иммунодиагностика проводится детям из групп риска, в том числе: 6</w:t>
      </w:r>
    </w:p>
    <w:p w:rsidR="00B63DE3" w:rsidRPr="00BE6FA1" w:rsidRDefault="00FD3FB3" w:rsidP="00BE6FA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>Детям, не вакцинированным против туберкулеза по медицинским противопоказаниям, до получения ребенком прививк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>и против туберкулеза;</w:t>
      </w:r>
    </w:p>
    <w:p w:rsidR="00B63DE3" w:rsidRPr="00BE6FA1" w:rsidRDefault="00FD3FB3" w:rsidP="00BE6FA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>детям, больным хроническими неспецифическими заболеваниями органов дыхания, желудочно-кишечного тракта, сахарным диабетом;</w:t>
      </w:r>
    </w:p>
    <w:p w:rsidR="00B63DE3" w:rsidRPr="00BE6FA1" w:rsidRDefault="00FD3FB3" w:rsidP="00BE6FA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>детям, получающим кортикостероидную, лучевую и цитостатическую терапию;</w:t>
      </w:r>
    </w:p>
    <w:p w:rsidR="00B63DE3" w:rsidRPr="00BE6FA1" w:rsidRDefault="00FD3FB3" w:rsidP="00BE6FA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FA1">
        <w:rPr>
          <w:rFonts w:ascii="Times New Roman" w:hAnsi="Times New Roman" w:cs="Times New Roman"/>
          <w:sz w:val="28"/>
          <w:szCs w:val="28"/>
        </w:rPr>
        <w:t>ВИЧ-инфицированным детям.</w:t>
      </w:r>
    </w:p>
    <w:p w:rsidR="00B63DE3" w:rsidRPr="00BE6FA1" w:rsidRDefault="00FD3FB3" w:rsidP="00BE6FA1">
      <w:pPr>
        <w:pStyle w:val="FirstParagraph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>Проведение им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>мунодиагностики осуществляется бесплатно средними медицинскими работниками детских, подростковых, амбулаторно- поликлинических и оздоровительных организаций, прошедшими обучение в противотуберкулезных медицинских организациях и имеющими допуск.</w:t>
      </w:r>
    </w:p>
    <w:p w:rsidR="00B63DE3" w:rsidRPr="00BE6FA1" w:rsidRDefault="00FD3FB3" w:rsidP="00BE6FA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>Не допускае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>тся проведение иммунодиагностики на дому, а также в детских и подростковых организациях в период карантина по инфекционным заболеваниям. Постановка проб Манту, Диаскинтеста проводится до профилактических прививок.</w:t>
      </w:r>
    </w:p>
    <w:p w:rsidR="00B63DE3" w:rsidRPr="00BE6FA1" w:rsidRDefault="00FD3FB3" w:rsidP="00BE6FA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>Интервал между профилактической прививкой,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 xml:space="preserve"> биологической диагностической пробой и пробой Манту, Диаскинтестом должен быть не менее одного месяца. В день постановки проб проводится медицинский осмотр детей. Результат пробы оценивается медицинским работником через 72 часа.</w:t>
      </w:r>
    </w:p>
    <w:p w:rsidR="00B63DE3" w:rsidRPr="00BE6FA1" w:rsidRDefault="00FD3FB3" w:rsidP="00BE6FA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>Дети с признаками инфициро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>вания и подозрением на туберкулёз по результатам проб (Манту, Диаскинтест), направляются на консультацию к специалисту фтизиатру с целью исключения заболевания, в течение 6 дней с момента оценки результата медицинским работником.</w:t>
      </w:r>
    </w:p>
    <w:p w:rsidR="00B63DE3" w:rsidRPr="00BE6FA1" w:rsidRDefault="00FD3FB3" w:rsidP="00BE6FA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lastRenderedPageBreak/>
        <w:t>Дети, направленные на конс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>ультацию в противотуберкулезный диспансер, родители или законные представители которых не представили в течение 1 месяца с момента постановки пробы Манту, Диаскинтеста заключение фтизиатра об отсутствии заболевания туберкулезом, не допускаются к присутстви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>ю в детских организациях.</w:t>
      </w:r>
    </w:p>
    <w:p w:rsidR="00B63DE3" w:rsidRPr="00BE6FA1" w:rsidRDefault="00FD3FB3" w:rsidP="00BE6FA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>В целях раннего выявления туберкулеза у подростков проводятся:</w:t>
      </w:r>
    </w:p>
    <w:p w:rsidR="00B63DE3" w:rsidRPr="00BE6FA1" w:rsidRDefault="00FD3FB3" w:rsidP="00BE6FA1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FA1">
        <w:rPr>
          <w:rFonts w:ascii="Times New Roman" w:hAnsi="Times New Roman" w:cs="Times New Roman"/>
          <w:sz w:val="28"/>
          <w:szCs w:val="28"/>
        </w:rPr>
        <w:t>плановая ежегодная иммунодиагностика туберкулёза;</w:t>
      </w:r>
    </w:p>
    <w:p w:rsidR="00B63DE3" w:rsidRPr="00BE6FA1" w:rsidRDefault="00FD3FB3" w:rsidP="00BE6FA1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FA1">
        <w:rPr>
          <w:rFonts w:ascii="Times New Roman" w:hAnsi="Times New Roman" w:cs="Times New Roman"/>
          <w:sz w:val="28"/>
          <w:szCs w:val="28"/>
        </w:rPr>
        <w:t>периодические рентгенфлюорографические осмотры.</w:t>
      </w:r>
    </w:p>
    <w:p w:rsidR="00B63DE3" w:rsidRPr="00BE6FA1" w:rsidRDefault="00FD3FB3" w:rsidP="00BE6FA1">
      <w:pPr>
        <w:pStyle w:val="FirstParagraph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 xml:space="preserve">Подростки с подозрением на туберкулёз, с признаками инфицирования по 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>результатам пробы Диаскинтест и/или наличием изменений на рентгенограмме направляются на консультацию к специалисту фтизиатру для проведения углублённого обследования с целью исключения заболевания туберкулёзом.</w:t>
      </w:r>
    </w:p>
    <w:p w:rsidR="00B63DE3" w:rsidRPr="00BE6FA1" w:rsidRDefault="00FD3FB3" w:rsidP="00BE6FA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 xml:space="preserve">С целью раннего выявления туберкулёза среди 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>лиц старше 15 лет ежегодно проводятся массовые рентгенфлюорографические осмотры населения. Лица с наличием изменений на рентгенограмме, с подозрением на туберкулёз направляются на консультацию к специалисту фтизиатру для проведения углублённого обследовани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>я с целью исключения заболевания.</w:t>
      </w:r>
    </w:p>
    <w:p w:rsidR="00B63DE3" w:rsidRPr="00BE6FA1" w:rsidRDefault="00FD3FB3" w:rsidP="00BE6FA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>В случае подтверждения заболевания туберкулёзом пациент госпитализируется в специализированное противотуберкулёзное учреждение, где проходит комплексное лечение.</w:t>
      </w:r>
    </w:p>
    <w:p w:rsidR="00B63DE3" w:rsidRPr="00BE6FA1" w:rsidRDefault="00FD3FB3" w:rsidP="00BE6FA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>7</w:t>
      </w:r>
    </w:p>
    <w:p w:rsidR="00B63DE3" w:rsidRPr="00BE6FA1" w:rsidRDefault="00FD3FB3" w:rsidP="00BE6FA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>Больной туберкулёзом является потенциально опасным и несёт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 xml:space="preserve"> риск заражения окружающих, в связи с чем, по месту жительства, работы, учёбы заболевшего проводятся противоэпидемические мероприятия, направленные на предотвращение новых случаев заболеваний и включающие в себя влажную и камерную дезинфекцию помещений, ве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>щей, предметов быта, обследование контактных лиц и проведение медикаментозной профилактики, значительно снижающей риск развития заболевания. Контактные лица подлежат динамическому наблюдению у фтизиатра.</w:t>
      </w:r>
    </w:p>
    <w:p w:rsidR="00B63DE3" w:rsidRPr="00BE6FA1" w:rsidRDefault="00FD3FB3" w:rsidP="00BE6FA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6FA1">
        <w:rPr>
          <w:rFonts w:ascii="Times New Roman" w:hAnsi="Times New Roman" w:cs="Times New Roman"/>
          <w:sz w:val="28"/>
          <w:szCs w:val="28"/>
          <w:lang w:val="ru-RU"/>
        </w:rPr>
        <w:t>Туберкулёз — излечимое заболевание и по окончании ле</w:t>
      </w:r>
      <w:r w:rsidRPr="00BE6FA1">
        <w:rPr>
          <w:rFonts w:ascii="Times New Roman" w:hAnsi="Times New Roman" w:cs="Times New Roman"/>
          <w:sz w:val="28"/>
          <w:szCs w:val="28"/>
          <w:lang w:val="ru-RU"/>
        </w:rPr>
        <w:t xml:space="preserve">чения пациент возвращается к работе, учёбе и привычному образу жизни. </w:t>
      </w:r>
    </w:p>
    <w:p w:rsidR="00BE6FA1" w:rsidRPr="00BE6FA1" w:rsidRDefault="00BE6FA1">
      <w:pPr>
        <w:pStyle w:val="a3"/>
        <w:jc w:val="both"/>
        <w:rPr>
          <w:lang w:val="ru-RU"/>
        </w:rPr>
      </w:pPr>
    </w:p>
    <w:sectPr w:rsidR="00BE6FA1" w:rsidRPr="00BE6FA1" w:rsidSect="00B63DE3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FB3" w:rsidRDefault="00FD3FB3" w:rsidP="00B63DE3">
      <w:pPr>
        <w:spacing w:after="0"/>
      </w:pPr>
      <w:r>
        <w:separator/>
      </w:r>
    </w:p>
  </w:endnote>
  <w:endnote w:type="continuationSeparator" w:id="1">
    <w:p w:rsidR="00FD3FB3" w:rsidRDefault="00FD3FB3" w:rsidP="00B63DE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FB3" w:rsidRDefault="00FD3FB3">
      <w:r>
        <w:separator/>
      </w:r>
    </w:p>
  </w:footnote>
  <w:footnote w:type="continuationSeparator" w:id="1">
    <w:p w:rsidR="00FD3FB3" w:rsidRDefault="00FD3F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62BAD8A"/>
    <w:multiLevelType w:val="multilevel"/>
    <w:tmpl w:val="0C5ED03A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E17F69BA"/>
    <w:multiLevelType w:val="multilevel"/>
    <w:tmpl w:val="1900972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714BAC"/>
    <w:multiLevelType w:val="multilevel"/>
    <w:tmpl w:val="EDE02904"/>
    <w:lvl w:ilvl="0">
      <w:start w:val="1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2C3217"/>
    <w:multiLevelType w:val="multilevel"/>
    <w:tmpl w:val="8D7A280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5">
    <w:abstractNumId w:val="0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0D07"/>
    <w:rsid w:val="00011C8B"/>
    <w:rsid w:val="004E29B3"/>
    <w:rsid w:val="00590D07"/>
    <w:rsid w:val="00784D58"/>
    <w:rsid w:val="008D6863"/>
    <w:rsid w:val="00B63DE3"/>
    <w:rsid w:val="00B86B75"/>
    <w:rsid w:val="00BC48D5"/>
    <w:rsid w:val="00BE6FA1"/>
    <w:rsid w:val="00C36279"/>
    <w:rsid w:val="00E315A3"/>
    <w:rsid w:val="00FD3FB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B63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B63DE3"/>
    <w:pPr>
      <w:spacing w:before="180" w:after="180"/>
    </w:pPr>
  </w:style>
  <w:style w:type="paragraph" w:customStyle="1" w:styleId="FirstParagraph">
    <w:name w:val="First Paragraph"/>
    <w:basedOn w:val="a3"/>
    <w:next w:val="a3"/>
    <w:qFormat/>
    <w:rsid w:val="00B63DE3"/>
  </w:style>
  <w:style w:type="paragraph" w:customStyle="1" w:styleId="Compact">
    <w:name w:val="Compact"/>
    <w:basedOn w:val="a3"/>
    <w:qFormat/>
    <w:rsid w:val="00B63DE3"/>
    <w:pPr>
      <w:spacing w:before="36" w:after="36"/>
    </w:pPr>
  </w:style>
  <w:style w:type="paragraph" w:styleId="a5">
    <w:name w:val="Title"/>
    <w:basedOn w:val="a"/>
    <w:next w:val="a3"/>
    <w:qFormat/>
    <w:rsid w:val="00B63DE3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6">
    <w:name w:val="Subtitle"/>
    <w:basedOn w:val="a5"/>
    <w:next w:val="a3"/>
    <w:qFormat/>
    <w:rsid w:val="00B63DE3"/>
    <w:pPr>
      <w:spacing w:before="240"/>
    </w:pPr>
    <w:rPr>
      <w:sz w:val="30"/>
      <w:szCs w:val="30"/>
    </w:rPr>
  </w:style>
  <w:style w:type="paragraph" w:customStyle="1" w:styleId="Author">
    <w:name w:val="Author"/>
    <w:next w:val="a3"/>
    <w:qFormat/>
    <w:rsid w:val="00B63DE3"/>
    <w:pPr>
      <w:keepNext/>
      <w:keepLines/>
      <w:jc w:val="center"/>
    </w:pPr>
  </w:style>
  <w:style w:type="paragraph" w:styleId="a7">
    <w:name w:val="Date"/>
    <w:next w:val="a3"/>
    <w:qFormat/>
    <w:rsid w:val="00B63DE3"/>
    <w:pPr>
      <w:keepNext/>
      <w:keepLines/>
      <w:jc w:val="center"/>
    </w:pPr>
  </w:style>
  <w:style w:type="paragraph" w:customStyle="1" w:styleId="Abstract">
    <w:name w:val="Abstract"/>
    <w:basedOn w:val="a"/>
    <w:next w:val="a3"/>
    <w:qFormat/>
    <w:rsid w:val="00B63DE3"/>
    <w:pPr>
      <w:keepNext/>
      <w:keepLines/>
      <w:spacing w:before="300" w:after="300"/>
    </w:pPr>
    <w:rPr>
      <w:sz w:val="20"/>
      <w:szCs w:val="20"/>
    </w:rPr>
  </w:style>
  <w:style w:type="paragraph" w:styleId="a8">
    <w:name w:val="Bibliography"/>
    <w:basedOn w:val="a"/>
    <w:qFormat/>
    <w:rsid w:val="00B63DE3"/>
  </w:style>
  <w:style w:type="paragraph" w:customStyle="1" w:styleId="Heading1">
    <w:name w:val="Heading 1"/>
    <w:basedOn w:val="a"/>
    <w:next w:val="a3"/>
    <w:uiPriority w:val="9"/>
    <w:qFormat/>
    <w:rsid w:val="00B63D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Heading2">
    <w:name w:val="Heading 2"/>
    <w:basedOn w:val="a"/>
    <w:next w:val="a3"/>
    <w:uiPriority w:val="9"/>
    <w:unhideWhenUsed/>
    <w:qFormat/>
    <w:rsid w:val="00B63D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customStyle="1" w:styleId="Heading3">
    <w:name w:val="Heading 3"/>
    <w:basedOn w:val="a"/>
    <w:next w:val="a3"/>
    <w:uiPriority w:val="9"/>
    <w:unhideWhenUsed/>
    <w:qFormat/>
    <w:rsid w:val="00B63D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Heading4">
    <w:name w:val="Heading 4"/>
    <w:basedOn w:val="a"/>
    <w:next w:val="a3"/>
    <w:uiPriority w:val="9"/>
    <w:unhideWhenUsed/>
    <w:qFormat/>
    <w:rsid w:val="00B63D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5">
    <w:name w:val="Heading 5"/>
    <w:basedOn w:val="a"/>
    <w:next w:val="a3"/>
    <w:uiPriority w:val="9"/>
    <w:unhideWhenUsed/>
    <w:qFormat/>
    <w:rsid w:val="00B63D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customStyle="1" w:styleId="Heading6">
    <w:name w:val="Heading 6"/>
    <w:basedOn w:val="a"/>
    <w:next w:val="a3"/>
    <w:uiPriority w:val="9"/>
    <w:unhideWhenUsed/>
    <w:qFormat/>
    <w:rsid w:val="00B63DE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a9">
    <w:name w:val="Block Text"/>
    <w:basedOn w:val="a3"/>
    <w:next w:val="a3"/>
    <w:uiPriority w:val="9"/>
    <w:unhideWhenUsed/>
    <w:qFormat/>
    <w:rsid w:val="00B63DE3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customStyle="1" w:styleId="FootnoteText">
    <w:name w:val="Footnote Text"/>
    <w:basedOn w:val="a"/>
    <w:uiPriority w:val="9"/>
    <w:unhideWhenUsed/>
    <w:qFormat/>
    <w:rsid w:val="00B63DE3"/>
  </w:style>
  <w:style w:type="paragraph" w:customStyle="1" w:styleId="DefinitionTerm">
    <w:name w:val="Definition Term"/>
    <w:basedOn w:val="a"/>
    <w:next w:val="Definition"/>
    <w:rsid w:val="00B63DE3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rsid w:val="00B63DE3"/>
  </w:style>
  <w:style w:type="paragraph" w:customStyle="1" w:styleId="Caption">
    <w:name w:val="Caption"/>
    <w:basedOn w:val="a"/>
    <w:link w:val="a4"/>
    <w:rsid w:val="00B63DE3"/>
    <w:pPr>
      <w:spacing w:after="120"/>
    </w:pPr>
    <w:rPr>
      <w:i/>
    </w:rPr>
  </w:style>
  <w:style w:type="paragraph" w:customStyle="1" w:styleId="TableCaption">
    <w:name w:val="Table Caption"/>
    <w:basedOn w:val="Caption"/>
    <w:rsid w:val="00B63DE3"/>
    <w:pPr>
      <w:keepNext/>
    </w:pPr>
  </w:style>
  <w:style w:type="paragraph" w:customStyle="1" w:styleId="ImageCaption">
    <w:name w:val="Image Caption"/>
    <w:basedOn w:val="Caption"/>
    <w:rsid w:val="00B63DE3"/>
  </w:style>
  <w:style w:type="paragraph" w:customStyle="1" w:styleId="Figure">
    <w:name w:val="Figure"/>
    <w:basedOn w:val="a"/>
    <w:rsid w:val="00B63DE3"/>
  </w:style>
  <w:style w:type="paragraph" w:customStyle="1" w:styleId="FigurewithCaption">
    <w:name w:val="Figure with Caption"/>
    <w:basedOn w:val="Figure"/>
    <w:rsid w:val="00B63DE3"/>
    <w:pPr>
      <w:keepNext/>
    </w:pPr>
  </w:style>
  <w:style w:type="character" w:customStyle="1" w:styleId="a4">
    <w:name w:val="Основной текст Знак"/>
    <w:basedOn w:val="a0"/>
    <w:link w:val="Caption"/>
    <w:rsid w:val="00B63DE3"/>
  </w:style>
  <w:style w:type="character" w:customStyle="1" w:styleId="VerbatimChar">
    <w:name w:val="Verbatim Char"/>
    <w:basedOn w:val="a4"/>
    <w:link w:val="SourceCode"/>
    <w:rsid w:val="00B63DE3"/>
    <w:rPr>
      <w:rFonts w:ascii="Consolas" w:hAnsi="Consolas"/>
      <w:sz w:val="22"/>
    </w:rPr>
  </w:style>
  <w:style w:type="character" w:customStyle="1" w:styleId="FootnoteReference">
    <w:name w:val="Footnote Reference"/>
    <w:basedOn w:val="a4"/>
    <w:rsid w:val="00B63DE3"/>
    <w:rPr>
      <w:vertAlign w:val="superscript"/>
    </w:rPr>
  </w:style>
  <w:style w:type="character" w:styleId="aa">
    <w:name w:val="Hyperlink"/>
    <w:basedOn w:val="a4"/>
    <w:rsid w:val="00B63DE3"/>
    <w:rPr>
      <w:color w:val="4F81BD" w:themeColor="accent1"/>
    </w:rPr>
  </w:style>
  <w:style w:type="paragraph" w:styleId="ab">
    <w:name w:val="TOC Heading"/>
    <w:basedOn w:val="Heading1"/>
    <w:next w:val="a3"/>
    <w:uiPriority w:val="39"/>
    <w:unhideWhenUsed/>
    <w:qFormat/>
    <w:rsid w:val="00B63DE3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rsid w:val="00B63DE3"/>
    <w:pPr>
      <w:wordWrap w:val="0"/>
    </w:pPr>
  </w:style>
  <w:style w:type="character" w:customStyle="1" w:styleId="KeywordTok">
    <w:name w:val="KeywordTok"/>
    <w:basedOn w:val="VerbatimChar"/>
    <w:rsid w:val="00B63DE3"/>
    <w:rPr>
      <w:b/>
      <w:color w:val="007020"/>
    </w:rPr>
  </w:style>
  <w:style w:type="character" w:customStyle="1" w:styleId="DataTypeTok">
    <w:name w:val="DataTypeTok"/>
    <w:basedOn w:val="VerbatimChar"/>
    <w:rsid w:val="00B63DE3"/>
    <w:rPr>
      <w:color w:val="902000"/>
    </w:rPr>
  </w:style>
  <w:style w:type="character" w:customStyle="1" w:styleId="DecValTok">
    <w:name w:val="DecValTok"/>
    <w:basedOn w:val="VerbatimChar"/>
    <w:rsid w:val="00B63DE3"/>
    <w:rPr>
      <w:color w:val="40A070"/>
    </w:rPr>
  </w:style>
  <w:style w:type="character" w:customStyle="1" w:styleId="BaseNTok">
    <w:name w:val="BaseNTok"/>
    <w:basedOn w:val="VerbatimChar"/>
    <w:rsid w:val="00B63DE3"/>
    <w:rPr>
      <w:color w:val="40A070"/>
    </w:rPr>
  </w:style>
  <w:style w:type="character" w:customStyle="1" w:styleId="FloatTok">
    <w:name w:val="FloatTok"/>
    <w:basedOn w:val="VerbatimChar"/>
    <w:rsid w:val="00B63DE3"/>
    <w:rPr>
      <w:color w:val="40A070"/>
    </w:rPr>
  </w:style>
  <w:style w:type="character" w:customStyle="1" w:styleId="ConstantTok">
    <w:name w:val="ConstantTok"/>
    <w:basedOn w:val="VerbatimChar"/>
    <w:rsid w:val="00B63DE3"/>
    <w:rPr>
      <w:color w:val="880000"/>
    </w:rPr>
  </w:style>
  <w:style w:type="character" w:customStyle="1" w:styleId="CharTok">
    <w:name w:val="CharTok"/>
    <w:basedOn w:val="VerbatimChar"/>
    <w:rsid w:val="00B63DE3"/>
    <w:rPr>
      <w:color w:val="4070A0"/>
    </w:rPr>
  </w:style>
  <w:style w:type="character" w:customStyle="1" w:styleId="SpecialCharTok">
    <w:name w:val="SpecialCharTok"/>
    <w:basedOn w:val="VerbatimChar"/>
    <w:rsid w:val="00B63DE3"/>
    <w:rPr>
      <w:color w:val="4070A0"/>
    </w:rPr>
  </w:style>
  <w:style w:type="character" w:customStyle="1" w:styleId="StringTok">
    <w:name w:val="StringTok"/>
    <w:basedOn w:val="VerbatimChar"/>
    <w:rsid w:val="00B63DE3"/>
    <w:rPr>
      <w:color w:val="4070A0"/>
    </w:rPr>
  </w:style>
  <w:style w:type="character" w:customStyle="1" w:styleId="VerbatimStringTok">
    <w:name w:val="VerbatimStringTok"/>
    <w:basedOn w:val="VerbatimChar"/>
    <w:rsid w:val="00B63DE3"/>
    <w:rPr>
      <w:color w:val="4070A0"/>
    </w:rPr>
  </w:style>
  <w:style w:type="character" w:customStyle="1" w:styleId="SpecialStringTok">
    <w:name w:val="SpecialStringTok"/>
    <w:basedOn w:val="VerbatimChar"/>
    <w:rsid w:val="00B63DE3"/>
    <w:rPr>
      <w:color w:val="BB6688"/>
    </w:rPr>
  </w:style>
  <w:style w:type="character" w:customStyle="1" w:styleId="ImportTok">
    <w:name w:val="ImportTok"/>
    <w:basedOn w:val="VerbatimChar"/>
    <w:rsid w:val="00B63DE3"/>
  </w:style>
  <w:style w:type="character" w:customStyle="1" w:styleId="CommentTok">
    <w:name w:val="CommentTok"/>
    <w:basedOn w:val="VerbatimChar"/>
    <w:rsid w:val="00B63DE3"/>
    <w:rPr>
      <w:i/>
      <w:color w:val="60A0B0"/>
    </w:rPr>
  </w:style>
  <w:style w:type="character" w:customStyle="1" w:styleId="DocumentationTok">
    <w:name w:val="DocumentationTok"/>
    <w:basedOn w:val="VerbatimChar"/>
    <w:rsid w:val="00B63DE3"/>
    <w:rPr>
      <w:i/>
      <w:color w:val="BA2121"/>
    </w:rPr>
  </w:style>
  <w:style w:type="character" w:customStyle="1" w:styleId="AnnotationTok">
    <w:name w:val="AnnotationTok"/>
    <w:basedOn w:val="VerbatimChar"/>
    <w:rsid w:val="00B63DE3"/>
    <w:rPr>
      <w:b/>
      <w:i/>
      <w:color w:val="60A0B0"/>
    </w:rPr>
  </w:style>
  <w:style w:type="character" w:customStyle="1" w:styleId="CommentVarTok">
    <w:name w:val="CommentVarTok"/>
    <w:basedOn w:val="VerbatimChar"/>
    <w:rsid w:val="00B63DE3"/>
    <w:rPr>
      <w:b/>
      <w:i/>
      <w:color w:val="60A0B0"/>
    </w:rPr>
  </w:style>
  <w:style w:type="character" w:customStyle="1" w:styleId="OtherTok">
    <w:name w:val="OtherTok"/>
    <w:basedOn w:val="VerbatimChar"/>
    <w:rsid w:val="00B63DE3"/>
    <w:rPr>
      <w:color w:val="007020"/>
    </w:rPr>
  </w:style>
  <w:style w:type="character" w:customStyle="1" w:styleId="FunctionTok">
    <w:name w:val="FunctionTok"/>
    <w:basedOn w:val="VerbatimChar"/>
    <w:rsid w:val="00B63DE3"/>
    <w:rPr>
      <w:color w:val="06287E"/>
    </w:rPr>
  </w:style>
  <w:style w:type="character" w:customStyle="1" w:styleId="VariableTok">
    <w:name w:val="VariableTok"/>
    <w:basedOn w:val="VerbatimChar"/>
    <w:rsid w:val="00B63DE3"/>
    <w:rPr>
      <w:color w:val="19177C"/>
    </w:rPr>
  </w:style>
  <w:style w:type="character" w:customStyle="1" w:styleId="ControlFlowTok">
    <w:name w:val="ControlFlowTok"/>
    <w:basedOn w:val="VerbatimChar"/>
    <w:rsid w:val="00B63DE3"/>
    <w:rPr>
      <w:b/>
      <w:color w:val="007020"/>
    </w:rPr>
  </w:style>
  <w:style w:type="character" w:customStyle="1" w:styleId="OperatorTok">
    <w:name w:val="OperatorTok"/>
    <w:basedOn w:val="VerbatimChar"/>
    <w:rsid w:val="00B63DE3"/>
    <w:rPr>
      <w:color w:val="666666"/>
    </w:rPr>
  </w:style>
  <w:style w:type="character" w:customStyle="1" w:styleId="BuiltInTok">
    <w:name w:val="BuiltInTok"/>
    <w:basedOn w:val="VerbatimChar"/>
    <w:rsid w:val="00B63DE3"/>
  </w:style>
  <w:style w:type="character" w:customStyle="1" w:styleId="ExtensionTok">
    <w:name w:val="ExtensionTok"/>
    <w:basedOn w:val="VerbatimChar"/>
    <w:rsid w:val="00B63DE3"/>
  </w:style>
  <w:style w:type="character" w:customStyle="1" w:styleId="PreprocessorTok">
    <w:name w:val="PreprocessorTok"/>
    <w:basedOn w:val="VerbatimChar"/>
    <w:rsid w:val="00B63DE3"/>
    <w:rPr>
      <w:color w:val="BC7A00"/>
    </w:rPr>
  </w:style>
  <w:style w:type="character" w:customStyle="1" w:styleId="AttributeTok">
    <w:name w:val="AttributeTok"/>
    <w:basedOn w:val="VerbatimChar"/>
    <w:rsid w:val="00B63DE3"/>
    <w:rPr>
      <w:color w:val="7D9029"/>
    </w:rPr>
  </w:style>
  <w:style w:type="character" w:customStyle="1" w:styleId="RegionMarkerTok">
    <w:name w:val="RegionMarkerTok"/>
    <w:basedOn w:val="VerbatimChar"/>
    <w:rsid w:val="00B63DE3"/>
  </w:style>
  <w:style w:type="character" w:customStyle="1" w:styleId="InformationTok">
    <w:name w:val="InformationTok"/>
    <w:basedOn w:val="VerbatimChar"/>
    <w:rsid w:val="00B63DE3"/>
    <w:rPr>
      <w:b/>
      <w:i/>
      <w:color w:val="60A0B0"/>
    </w:rPr>
  </w:style>
  <w:style w:type="character" w:customStyle="1" w:styleId="WarningTok">
    <w:name w:val="WarningTok"/>
    <w:basedOn w:val="VerbatimChar"/>
    <w:rsid w:val="00B63DE3"/>
    <w:rPr>
      <w:b/>
      <w:i/>
      <w:color w:val="60A0B0"/>
    </w:rPr>
  </w:style>
  <w:style w:type="character" w:customStyle="1" w:styleId="AlertTok">
    <w:name w:val="AlertTok"/>
    <w:basedOn w:val="VerbatimChar"/>
    <w:rsid w:val="00B63DE3"/>
    <w:rPr>
      <w:b/>
      <w:color w:val="FF0000"/>
    </w:rPr>
  </w:style>
  <w:style w:type="character" w:customStyle="1" w:styleId="ErrorTok">
    <w:name w:val="ErrorTok"/>
    <w:basedOn w:val="VerbatimChar"/>
    <w:rsid w:val="00B63DE3"/>
    <w:rPr>
      <w:b/>
      <w:color w:val="FF0000"/>
    </w:rPr>
  </w:style>
  <w:style w:type="character" w:customStyle="1" w:styleId="NormalTok">
    <w:name w:val="NormalTok"/>
    <w:basedOn w:val="VerbatimChar"/>
    <w:rsid w:val="00B63D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2277</Words>
  <Characters>12982</Characters>
  <Application>Microsoft Office Word</Application>
  <DocSecurity>0</DocSecurity>
  <Lines>108</Lines>
  <Paragraphs>30</Paragraphs>
  <ScaleCrop>false</ScaleCrop>
  <Company/>
  <LinksUpToDate>false</LinksUpToDate>
  <CharactersWithSpaces>15229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dcterms:created xsi:type="dcterms:W3CDTF">2019-05-13T08:17:00Z</dcterms:created>
  <dcterms:modified xsi:type="dcterms:W3CDTF">2019-05-13T08:17:00Z</dcterms:modified>
</cp:coreProperties>
</file>