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E3" w:rsidRPr="00BE6FA1" w:rsidRDefault="00FD3FB3" w:rsidP="00BE6FA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b/>
          <w:sz w:val="28"/>
          <w:szCs w:val="28"/>
          <w:lang w:val="ru-RU"/>
        </w:rPr>
        <w:t>Материалы о необходимости проведения вакцинопрофилактики инфекционных болезней среди детей и подростков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Эпидемическая ситуация в мире никогда не была спокойной. Все время наблюдались вспышки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инфекционных заболеваний и появлялись новые виды заразных болезней, а в последние годы происходит возвращение «старых» инфекций.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Инфекционные болезни возникли задолго до появления человека. На костях динозавров, мамонтов, пещерных медведей и других древни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х животных имеются следы остеомиелита. Из предков человека инфекционные поражения костей отмечены у питекантропов с острова Ява, живших 1—2 млн лет тому назад. Таким образом, человечество еще на заре своего существования встречалось с многочисленными инфек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ционными болезнями. По мере возникновения общества и развития социального образа жизни человека многие инфекции получили широкое распространение.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За последние 40 лет выявлено более 30 новых нозологических форм инфекционных заболеваний (болезнь легионеров,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геморрагические лихорадки Эбола и Марбург, вирусные гепатиты С, Ри Е, ВИЧ-инфекция, микоплазменные и прионные заболевания и др.).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Причиной возвращения «старых» инфекций (например, кори, коклюша, бешенства и др.) является целый комплекс факторов: миграция 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рост численности населения, урбанизация, скученность, низкий уровень жизни, изменение экологии, климата, туризм, санитарно-гигиенические условия, генетическая устойчивость микроорганизмов, отказ от вакцинации и другие факторы.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На подъем инфекционной забол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еваемости в последние годы в России повлияли дополнительные факторы: отказ и необоснованный отвод от вакцинации, широкая кампания против вакцинации (активизация антивакцинального лобби).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Хорошо известно, что профилактика является самым эффективным и самым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экономичным способом сохранения здоровья людей. Существует три направления профилактических мероприятий инфекционных заболеваний:</w:t>
      </w:r>
    </w:p>
    <w:p w:rsidR="00B63DE3" w:rsidRPr="00BE6FA1" w:rsidRDefault="00FD3FB3" w:rsidP="00BE6FA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воздействие на источник инфекции - обезвреживание его (дезинфекция, дезинсекция (уничтожение насекомых) и дератизации (уничтож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ение грызунов));</w:t>
      </w:r>
    </w:p>
    <w:p w:rsidR="00B63DE3" w:rsidRPr="00BE6FA1" w:rsidRDefault="00FD3FB3" w:rsidP="00BE6FA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FA1">
        <w:rPr>
          <w:rFonts w:ascii="Times New Roman" w:hAnsi="Times New Roman" w:cs="Times New Roman"/>
          <w:sz w:val="28"/>
          <w:szCs w:val="28"/>
        </w:rPr>
        <w:t>разрыв путей передачи инфекции;</w:t>
      </w:r>
    </w:p>
    <w:p w:rsidR="00B63DE3" w:rsidRPr="00BE6FA1" w:rsidRDefault="00FD3FB3" w:rsidP="00BE6FA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повышение невосприимчивости людей к инфекционным заболеваниям (иммунопрофилактика).</w:t>
      </w:r>
    </w:p>
    <w:p w:rsidR="00B63DE3" w:rsidRPr="00BE6FA1" w:rsidRDefault="00FD3FB3" w:rsidP="00BE6FA1">
      <w:pPr>
        <w:pStyle w:val="FirstParagraph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Важнейшее значение имеют своевременное выявление инфекционных больных, ранняя их изоляция и госпитализация. Разорвать путь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передачи инфекции возможно соблюдением правил личной и общественной гигиены.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Профилактические мероприятия, связанные с повышением невосприимчивости людей к инфекционным заболеваниям, достигаются с помощью так называемого искусственного иммунитета, который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создается путем введения (прививки) в организм здоровых людей вакцин и анатоксинов.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На 1 января 2004 года медицина располагала 100 вакцинами от 40 инфекций и каждое десятилетие приносит всё новые достижения вакцинопрофилактики.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настоящее время в соотве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тствии с федеральным законом от 17.09.1998 № 157-ФЗ «Об иммунопрофилактике инфекционных болезней» вакцинация является частью государственной политики в области здравоохранения.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Бесплатная вакцинация в Российской Федерации осуществляется в соответствии с На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циональным календарем профилактических прививок, утвержденным приказом Министерства здравоохранения Российской Федерации от 21.03.2014 № 125н «Об утверждении национального календаря профилактических прививок и календаря профилактических прививок по эпидеми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ческим показаниям».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Прививочный календарь разрабатывается с учетом всех возрастных особенностей, в том числе и наиболее опасных инфекционных заболеваний у детей первого года жизни. Прививки, которые делаются в рамках Национального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календаря, позволяют значительно снизить риск заболевания у детей. А если ребенок все же заболеет, то сделанная прививка будет способствовать протеканию болезни в более легкой форме и избавит от тяжелых осложнений, многие из которых крайне опасны для жизни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Календарь прививок состоит из двух разделов:</w:t>
      </w:r>
    </w:p>
    <w:p w:rsidR="00B63DE3" w:rsidRPr="00BE6FA1" w:rsidRDefault="00FD3FB3" w:rsidP="00BE6FA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национальный календарь профилактических прививок, предусматривающий вакцинацию против 12 инфекционных заболеваний (гепатита В, туберкулёз, полиомиелит, коклюш, дифтерия, столбняк, корь, эпидемический паротит,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краснуха, грипп, пневмококковая инфекция, гемофильная инфекция (для детей из групп риска);</w:t>
      </w:r>
    </w:p>
    <w:p w:rsidR="00B63DE3" w:rsidRPr="00BE6FA1" w:rsidRDefault="00FD3FB3" w:rsidP="00BE6FA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календарь прививок по эпидемическим показаниям — против природно- очаговых инфекций (клещевой энцефалит, лептоспироз и др.) и зоонозных инфекций (бруцеллез, туляреми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я, сибирская язва). К этой же категории могут быть отнесены прививки, проводимые в группах риска — лицам как с высокой возможностью заражения, так и с высокой опасностью для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>окружающих в случае их заболевания (к таким заболеваниям относятся гепатит А, брюш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ной тиф, холера).</w:t>
      </w:r>
    </w:p>
    <w:p w:rsidR="00B63DE3" w:rsidRPr="00BE6FA1" w:rsidRDefault="00FD3FB3" w:rsidP="00BE6FA1">
      <w:pPr>
        <w:pStyle w:val="FirstParagraph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Календарь прививок — это минимальная, так называемая, обязательная схема, предусмотренная для всех детей Российской Федерации. Но кроме обязательных прививок, существует и другие — дополнительные, которые зачастую не менее необходимы совр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еменному ребенку.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связи с этим, на территории Свердловской области утвержден региональный календарь прививок (Приказ Министерства здравоохранения Свердловской области № 1895-п, Управления Роспотребнадзора по Свердловской области № 01-01-01-01/393 от 01.1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1.2017 «Об утверждении регионального календаря профилактических прививок Свердловской области»), в котором дополнительно к вакцинации, проводимой в рамках национального календаря прививок, предусмотрена вакцинация детей против — ротовирусной, менингококков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ой, папиллома-вирусной инфекции, гепатита А, клещевого энцефалита, ветряной оспы, а также ревакцинация против коклюша в возрасте 6-7 лет.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настоящее время все больше людей с детьми выезжают с туристической целью в другие регионы и за пределы Российской Фе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дерации. В связи с этим, все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большее значение приобретает необходимость заблаговременно вакцинироваться против инфекций, характерных для данного региона (клещевой энцефалит, брюшной тиф, туляремия, желтая лихорадка и др.).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Вакцины взаимодействуют с иммунно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й системой, в результате чего формируется иммунный ответ, аналогичный иммунной реакции на естественную инфекцию, но без развития заболевания или риска возникновения у привитого потенциальных осложнений. Напротив, цена формирования иммунитета путем заражени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я естественной инфекцией может оказаться слишком высока: заражение гемофильной инфекцией может обернуться нарушениями со стороны центральной нервной системы, краснуха — врожденными дефектами, инфекция гепатита В — раком печени, а осложнения кори — летальны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м исходом.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Вакцины безопасны. Любая лицензированная вакцина проходит тщательную проверку в рамках нескольких этапов испытаний и только после этого признается пригодной к использованию. В большинстве случаев реакции на вакцинацию, например, боль в руке или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несколько повышенная температура, как правило, незначительны и быстро проходят. В тех редких случаях, когда имеют место серьезные побочные эффекты, немедленно проводится расследование. Гораздо выше вероятность серьезно пострадать от болезни, предупреждаемо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й вакцинацией, чем от самой вакцины. Например, при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заболевании полиомиелитом может развиться паралич, корь может вызвать энцефалит и слепоту, а некоторые заболевания, предупреждаемые вакцинацией, могут даже привести к смерти. Преимущества вакцинации значит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ельно перевешивают риски, и без вакцинации случаев болезни и смерти было бы намного больше.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Не следует бояться вакцинации, надо грамотно и серьезно относиться к этой важной мере защиты Вашего здоровья.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Материалы о необходимости проведения профилактики и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раннего выявления туберкулёза среди населения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Туберкулез является в мире широко распространенным инфекционным заболеванием человека и животных, вызываемым микобактериями туберкулезного комплекса (Мусобацегат (1егс! 0515 сотрех-МТВС), преимущественно МусоБа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метит шьЬегси1о$15. Синонимы: Микобактерия туберкулёза, туберкулёзная палочка, палочка Коха, бацилла Коха, туберкулёзная бацилла.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Источник изображений: Мона о Неа! $степсе и Ка/МИКЕас5.сот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Возбудители туберкулеза сохраняют свою жизнеспособность в сухом сос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тоянии до 3 лет, при нагревании выдерживают температуру выше 80 °С (микобактерии туберкулеза, находящиеся в мокроте, выживают при кипячении в пределах 5 минут, устойчивы к органическим и неорганическим кислотам, щелочам, многим окислителям, проявляют устой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чивость к воздействию спиртов, ацетона, четвертичных аммониевых соединений (ЧАС), нечувствительны к рассеянному солнечному свету).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Источником инфекции являются больные активной формой туберкулеза люди (99%) и животные (крупный рогатый скот, козы, собаки не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более 1% случаев). Эпидемиологически наиболее опасными являются больные туберкулезом легких с наличием бактериовыделения (так называемая «открытая форма» туберкулёза) и/или с деструктивными процессами (полостями распада) в легких.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Резервуар туберкулезной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инфекции - больные туберкулезом и инфицированные микобактерией туберкулеза люди, животные и птицы.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Основным механизмом передачи возбудителя инфекции является воздушно-капельный (аэрозольный). Возможны также воздушно-пылевой, контактный, алиментарный, верти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кальный механизмы передачи.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Основным фактором передачи возбудителя туберкулезной инфекции является воздушная среда. Факторами передачи инфекции могут также являться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инфицированные материалы от больных, контаминированные возбудителем объекты внешней среды (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постельное бельё, предметы одежды, средства гигиены и т.п.).</w:t>
      </w:r>
    </w:p>
    <w:p w:rsidR="00B63DE3" w:rsidRPr="00BE6FA1" w:rsidRDefault="00B63DE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Но данным Всемирной организации здравоохранения (ВОЗ), ежегодно в мире заболевает туберкулёзом около 10 миллионов человек (в том числе 1 млн. детей) и до 1,3 млн. человек умирает от туберкулёза.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мире проживают 1,7 миллиарда человек (или более 1/3 населения Земли), инфицированных туберкулёзом.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Несмотря на то, что на протяжении последних лет в Свердловской области отмечается положительная тенденция к снижению заболеваемости населения туберкулёзом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, ситуация остаётся напряжённой, так как число заболевших ещё превышает уровень Российской Федерации. Таким образом, сохраняется риск инфицирования и заболевания туберкулёзом среди всех групп населения и, особенно, среди детей и подростков.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На сегодняшний день до 70-80% лиц старше 30 лет уже инфицированы палочкой Коха или микобактерией — возбудителем туберкулёза, который может активироваться и привести к развитию болезни. Активация туберкулёза происходит в результате снижения защитных сил орг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анизма при воздействия на него неблагоприятных факторов, таких как курение, употребление алкоголя и наркотиков, ВИЧ, запущенные острые и хронические заболевания (грипп, сахарный диабет, болезни органов дыхания и пищеварения и т.п.), пониженное питание, пер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еохлаждение, хронический стресс и, конечно же, повторное инфицирование микобактериями в результате тесного контакта с больным туберкулёзом бактериовыделителем (с открытой формой туберкулёза).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Как в Российской Федерации, так и в Свердловской области действу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ет многоуровневая система мероприятий, направленная на предотвращение распространения туберкулёза среди населения, включающая профилактику, выявление и лечение заболевания.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Вакцинация БЦЖ, которая является обязательной, позволяет снизить в 15 раз риск инфи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цирования и в 8 раз риск заболевания туберкулёзом, и предотвратить развитие опасных и летальных форм заболевания среди детского населения. Вакцинация БЦЖ включена в Национальный календарь профилактических прививок Российской Федерации и Свердловской област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и и показана каждому новорожденному в роддоме на 3 - 7 сутки жизни.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Для своевременного выявления инфицирования микобактериями туберкулёза с целью проведения профилактических мероприятий, предотвращающих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развитие заболевания, ежегодно проводятся массовое об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следование детского населения с применением кожных иммунодиагностических проб, таких как проба с туберкулином (проба Манту) и проба с аллергеном туберкулёзным рекомбинантным (Диаскинтест).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Вакцинированным против туберкулеза детям с 12-месячного возраста до 7 лет включительно, проводят внутрикожную аллергическую пробу с туберкулином (далее - проба Манту) 1 раз в год. С 8 лет и до достижения возраста 18 лет — внутрикожную — аллергическую пробу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с —аллергеном туберкулёзным рекомбинантным (далее - Диаскинтест).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Два раза в год иммунодиагностика проводится детям из групп риска, в том числе: 6</w:t>
      </w:r>
    </w:p>
    <w:p w:rsidR="00B63DE3" w:rsidRPr="00BE6FA1" w:rsidRDefault="00FD3FB3" w:rsidP="00BE6FA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Детям, не вакцинированным против туберкулеза по медицинским противопоказаниям, до получения ребенком прививк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и против туберкулеза;</w:t>
      </w:r>
    </w:p>
    <w:p w:rsidR="00B63DE3" w:rsidRPr="00BE6FA1" w:rsidRDefault="00FD3FB3" w:rsidP="00BE6FA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B63DE3" w:rsidRPr="00BE6FA1" w:rsidRDefault="00FD3FB3" w:rsidP="00BE6FA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детям, получающим кортикостероидную, лучевую и цитостатическую терапию;</w:t>
      </w:r>
    </w:p>
    <w:p w:rsidR="00B63DE3" w:rsidRPr="00BE6FA1" w:rsidRDefault="00FD3FB3" w:rsidP="00BE6FA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FA1">
        <w:rPr>
          <w:rFonts w:ascii="Times New Roman" w:hAnsi="Times New Roman" w:cs="Times New Roman"/>
          <w:sz w:val="28"/>
          <w:szCs w:val="28"/>
        </w:rPr>
        <w:t>ВИЧ-инфицированным детям.</w:t>
      </w:r>
    </w:p>
    <w:p w:rsidR="00B63DE3" w:rsidRPr="00BE6FA1" w:rsidRDefault="00FD3FB3" w:rsidP="00BE6FA1">
      <w:pPr>
        <w:pStyle w:val="FirstParagraph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Проведение им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мунодиагностики осуществляется бесплатно средними медицинскими работниками детских, подростковых, амбулаторно- поликлинических и оздоровительных организаций, прошедшими обучение в противотуберкулезных медицинских организациях и имеющими допуск.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Не допускае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тся проведение иммунодиагностики на дому, а также в детских и подростковых организациях в период карантина по инфекционным заболеваниям. Постановка проб Манту, Диаскинтеста проводится до профилактических прививок.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Интервал между профилактической прививкой,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биологической диагностической пробой и пробой Манту, Диаскинтестом должен быть не менее одного месяца. В день постановки проб проводится медицинский осмотр детей. Результат пробы оценивается медицинским работником через 72 часа.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Дети с признаками инфициро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вания и подозрением на туберкулёз по результатам проб (Манту, Диаскинтест), направляются на консультацию к специалисту фтизиатру с целью исключения заболевания, в течение 6 дней с момента оценки результата медицинским работником.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Дети, направленные на конс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Манту, Диаскинтеста заключение фтизиатра об отсутствии заболевания туберкулезом, не допускаются к присутстви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ю в детских организациях.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целях раннего выявления туберкулеза у подростков проводятся:</w:t>
      </w:r>
    </w:p>
    <w:p w:rsidR="00B63DE3" w:rsidRPr="00BE6FA1" w:rsidRDefault="00FD3FB3" w:rsidP="00BE6FA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FA1">
        <w:rPr>
          <w:rFonts w:ascii="Times New Roman" w:hAnsi="Times New Roman" w:cs="Times New Roman"/>
          <w:sz w:val="28"/>
          <w:szCs w:val="28"/>
        </w:rPr>
        <w:t>плановая ежегодная иммунодиагностика туберкулёза;</w:t>
      </w:r>
    </w:p>
    <w:p w:rsidR="00B63DE3" w:rsidRPr="00BE6FA1" w:rsidRDefault="00FD3FB3" w:rsidP="00BE6FA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FA1">
        <w:rPr>
          <w:rFonts w:ascii="Times New Roman" w:hAnsi="Times New Roman" w:cs="Times New Roman"/>
          <w:sz w:val="28"/>
          <w:szCs w:val="28"/>
        </w:rPr>
        <w:t>периодические рентгенфлюорографические осмотры.</w:t>
      </w:r>
    </w:p>
    <w:p w:rsidR="00B63DE3" w:rsidRPr="00BE6FA1" w:rsidRDefault="00FD3FB3" w:rsidP="00BE6FA1">
      <w:pPr>
        <w:pStyle w:val="FirstParagraph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Подростки с подозрением на туберкулёз, с признаками инфицирования по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результатам пробы Диаскинтест и/или наличием изменений на рентгенограмме направляются на консультацию к специалисту фтизиатру для проведения углублённого обследования с целью исключения заболевания туберкулёзом.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С целью раннего выявления туберкулёза среди 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лиц старше 15 лет ежегодно проводятся массовые рентгенфлюорографические осмотры населения. Лица с наличием изменений на рентгенограмме, с подозрением на туберкулёз направляются на консультацию к специалисту фтизиатру для проведения углублённого обследовани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я с целью исключения заболевания.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В случае подтверждения заболевания туберкулёзом пациент госпитализируется в специализированное противотуберкулёзное учреждение, где проходит комплексное лечение.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Больной туберкулёзом является потенциально опасным и несёт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 риск заражения окружающих, в связи с чем, по месту жительства, работы, учёбы заболевшего проводятся противоэпидемические мероприятия, направленные на предотвращение новых случаев заболеваний и включающие в себя влажную и камерную дезинфекцию помещений, ве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>щей, предметов быта, обследование контактных лиц и проведение медикаментозной профилактики, значительно снижающей риск развития заболевания. Контактные лица подлежат динамическому наблюдению у фтизиатра.</w:t>
      </w:r>
    </w:p>
    <w:p w:rsidR="00B63DE3" w:rsidRPr="00BE6FA1" w:rsidRDefault="00FD3FB3" w:rsidP="00BE6F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6FA1">
        <w:rPr>
          <w:rFonts w:ascii="Times New Roman" w:hAnsi="Times New Roman" w:cs="Times New Roman"/>
          <w:sz w:val="28"/>
          <w:szCs w:val="28"/>
          <w:lang w:val="ru-RU"/>
        </w:rPr>
        <w:t>Туберкулёз — излечимое заболевание и по окончании ле</w:t>
      </w:r>
      <w:r w:rsidRPr="00BE6FA1">
        <w:rPr>
          <w:rFonts w:ascii="Times New Roman" w:hAnsi="Times New Roman" w:cs="Times New Roman"/>
          <w:sz w:val="28"/>
          <w:szCs w:val="28"/>
          <w:lang w:val="ru-RU"/>
        </w:rPr>
        <w:t xml:space="preserve">чения пациент возвращается к работе, учёбе и привычному образу жизни. </w:t>
      </w:r>
    </w:p>
    <w:p w:rsidR="00BE6FA1" w:rsidRPr="00BE6FA1" w:rsidRDefault="00BE6FA1">
      <w:pPr>
        <w:pStyle w:val="a3"/>
        <w:jc w:val="both"/>
        <w:rPr>
          <w:lang w:val="ru-RU"/>
        </w:rPr>
      </w:pPr>
    </w:p>
    <w:sectPr w:rsidR="00BE6FA1" w:rsidRPr="00BE6FA1" w:rsidSect="00B63DE3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FB3" w:rsidRDefault="00FD3FB3" w:rsidP="00B63DE3">
      <w:pPr>
        <w:spacing w:after="0"/>
      </w:pPr>
      <w:r>
        <w:separator/>
      </w:r>
    </w:p>
  </w:endnote>
  <w:endnote w:type="continuationSeparator" w:id="1">
    <w:p w:rsidR="00FD3FB3" w:rsidRDefault="00FD3FB3" w:rsidP="00B63DE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FB3" w:rsidRDefault="00FD3FB3">
      <w:r>
        <w:separator/>
      </w:r>
    </w:p>
  </w:footnote>
  <w:footnote w:type="continuationSeparator" w:id="1">
    <w:p w:rsidR="00FD3FB3" w:rsidRDefault="00FD3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2BAD8A"/>
    <w:multiLevelType w:val="multilevel"/>
    <w:tmpl w:val="0C5ED03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1900972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14BAC"/>
    <w:multiLevelType w:val="multilevel"/>
    <w:tmpl w:val="EDE02904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2C3217"/>
    <w:multiLevelType w:val="multilevel"/>
    <w:tmpl w:val="8D7A280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4E29B3"/>
    <w:rsid w:val="00590D07"/>
    <w:rsid w:val="00784D58"/>
    <w:rsid w:val="008D6863"/>
    <w:rsid w:val="00B63DE3"/>
    <w:rsid w:val="00B86B75"/>
    <w:rsid w:val="00BC48D5"/>
    <w:rsid w:val="00BE6FA1"/>
    <w:rsid w:val="00C36279"/>
    <w:rsid w:val="00E315A3"/>
    <w:rsid w:val="00FD3FB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B6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63DE3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B63DE3"/>
  </w:style>
  <w:style w:type="paragraph" w:customStyle="1" w:styleId="Compact">
    <w:name w:val="Compact"/>
    <w:basedOn w:val="a3"/>
    <w:qFormat/>
    <w:rsid w:val="00B63DE3"/>
    <w:pPr>
      <w:spacing w:before="36" w:after="36"/>
    </w:pPr>
  </w:style>
  <w:style w:type="paragraph" w:styleId="a5">
    <w:name w:val="Title"/>
    <w:basedOn w:val="a"/>
    <w:next w:val="a3"/>
    <w:qFormat/>
    <w:rsid w:val="00B63DE3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B63DE3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B63DE3"/>
    <w:pPr>
      <w:keepNext/>
      <w:keepLines/>
      <w:jc w:val="center"/>
    </w:pPr>
  </w:style>
  <w:style w:type="paragraph" w:styleId="a7">
    <w:name w:val="Date"/>
    <w:next w:val="a3"/>
    <w:qFormat/>
    <w:rsid w:val="00B63DE3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B63DE3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B63DE3"/>
  </w:style>
  <w:style w:type="paragraph" w:customStyle="1" w:styleId="Heading1">
    <w:name w:val="Heading 1"/>
    <w:basedOn w:val="a"/>
    <w:next w:val="a3"/>
    <w:uiPriority w:val="9"/>
    <w:qFormat/>
    <w:rsid w:val="00B63D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B63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B63D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B63D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B63D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B63D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B63DE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B63DE3"/>
  </w:style>
  <w:style w:type="paragraph" w:customStyle="1" w:styleId="DefinitionTerm">
    <w:name w:val="Definition Term"/>
    <w:basedOn w:val="a"/>
    <w:next w:val="Definition"/>
    <w:rsid w:val="00B63DE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B63DE3"/>
  </w:style>
  <w:style w:type="paragraph" w:customStyle="1" w:styleId="Caption">
    <w:name w:val="Caption"/>
    <w:basedOn w:val="a"/>
    <w:link w:val="a4"/>
    <w:rsid w:val="00B63DE3"/>
    <w:pPr>
      <w:spacing w:after="120"/>
    </w:pPr>
    <w:rPr>
      <w:i/>
    </w:rPr>
  </w:style>
  <w:style w:type="paragraph" w:customStyle="1" w:styleId="TableCaption">
    <w:name w:val="Table Caption"/>
    <w:basedOn w:val="Caption"/>
    <w:rsid w:val="00B63DE3"/>
    <w:pPr>
      <w:keepNext/>
    </w:pPr>
  </w:style>
  <w:style w:type="paragraph" w:customStyle="1" w:styleId="ImageCaption">
    <w:name w:val="Image Caption"/>
    <w:basedOn w:val="Caption"/>
    <w:rsid w:val="00B63DE3"/>
  </w:style>
  <w:style w:type="paragraph" w:customStyle="1" w:styleId="Figure">
    <w:name w:val="Figure"/>
    <w:basedOn w:val="a"/>
    <w:rsid w:val="00B63DE3"/>
  </w:style>
  <w:style w:type="paragraph" w:customStyle="1" w:styleId="FigurewithCaption">
    <w:name w:val="Figure with Caption"/>
    <w:basedOn w:val="Figure"/>
    <w:rsid w:val="00B63DE3"/>
    <w:pPr>
      <w:keepNext/>
    </w:pPr>
  </w:style>
  <w:style w:type="character" w:customStyle="1" w:styleId="a4">
    <w:name w:val="Основной текст Знак"/>
    <w:basedOn w:val="a0"/>
    <w:link w:val="Caption"/>
    <w:rsid w:val="00B63DE3"/>
  </w:style>
  <w:style w:type="character" w:customStyle="1" w:styleId="VerbatimChar">
    <w:name w:val="Verbatim Char"/>
    <w:basedOn w:val="a4"/>
    <w:link w:val="SourceCode"/>
    <w:rsid w:val="00B63DE3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B63DE3"/>
    <w:rPr>
      <w:vertAlign w:val="superscript"/>
    </w:rPr>
  </w:style>
  <w:style w:type="character" w:styleId="aa">
    <w:name w:val="Hyperlink"/>
    <w:basedOn w:val="a4"/>
    <w:rsid w:val="00B63DE3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B63DE3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B63DE3"/>
    <w:pPr>
      <w:wordWrap w:val="0"/>
    </w:pPr>
  </w:style>
  <w:style w:type="character" w:customStyle="1" w:styleId="KeywordTok">
    <w:name w:val="KeywordTok"/>
    <w:basedOn w:val="VerbatimChar"/>
    <w:rsid w:val="00B63DE3"/>
    <w:rPr>
      <w:b/>
      <w:color w:val="007020"/>
    </w:rPr>
  </w:style>
  <w:style w:type="character" w:customStyle="1" w:styleId="DataTypeTok">
    <w:name w:val="DataTypeTok"/>
    <w:basedOn w:val="VerbatimChar"/>
    <w:rsid w:val="00B63DE3"/>
    <w:rPr>
      <w:color w:val="902000"/>
    </w:rPr>
  </w:style>
  <w:style w:type="character" w:customStyle="1" w:styleId="DecValTok">
    <w:name w:val="DecValTok"/>
    <w:basedOn w:val="VerbatimChar"/>
    <w:rsid w:val="00B63DE3"/>
    <w:rPr>
      <w:color w:val="40A070"/>
    </w:rPr>
  </w:style>
  <w:style w:type="character" w:customStyle="1" w:styleId="BaseNTok">
    <w:name w:val="BaseNTok"/>
    <w:basedOn w:val="VerbatimChar"/>
    <w:rsid w:val="00B63DE3"/>
    <w:rPr>
      <w:color w:val="40A070"/>
    </w:rPr>
  </w:style>
  <w:style w:type="character" w:customStyle="1" w:styleId="FloatTok">
    <w:name w:val="FloatTok"/>
    <w:basedOn w:val="VerbatimChar"/>
    <w:rsid w:val="00B63DE3"/>
    <w:rPr>
      <w:color w:val="40A070"/>
    </w:rPr>
  </w:style>
  <w:style w:type="character" w:customStyle="1" w:styleId="ConstantTok">
    <w:name w:val="ConstantTok"/>
    <w:basedOn w:val="VerbatimChar"/>
    <w:rsid w:val="00B63DE3"/>
    <w:rPr>
      <w:color w:val="880000"/>
    </w:rPr>
  </w:style>
  <w:style w:type="character" w:customStyle="1" w:styleId="CharTok">
    <w:name w:val="CharTok"/>
    <w:basedOn w:val="VerbatimChar"/>
    <w:rsid w:val="00B63DE3"/>
    <w:rPr>
      <w:color w:val="4070A0"/>
    </w:rPr>
  </w:style>
  <w:style w:type="character" w:customStyle="1" w:styleId="SpecialCharTok">
    <w:name w:val="SpecialCharTok"/>
    <w:basedOn w:val="VerbatimChar"/>
    <w:rsid w:val="00B63DE3"/>
    <w:rPr>
      <w:color w:val="4070A0"/>
    </w:rPr>
  </w:style>
  <w:style w:type="character" w:customStyle="1" w:styleId="StringTok">
    <w:name w:val="StringTok"/>
    <w:basedOn w:val="VerbatimChar"/>
    <w:rsid w:val="00B63DE3"/>
    <w:rPr>
      <w:color w:val="4070A0"/>
    </w:rPr>
  </w:style>
  <w:style w:type="character" w:customStyle="1" w:styleId="VerbatimStringTok">
    <w:name w:val="VerbatimStringTok"/>
    <w:basedOn w:val="VerbatimChar"/>
    <w:rsid w:val="00B63DE3"/>
    <w:rPr>
      <w:color w:val="4070A0"/>
    </w:rPr>
  </w:style>
  <w:style w:type="character" w:customStyle="1" w:styleId="SpecialStringTok">
    <w:name w:val="SpecialStringTok"/>
    <w:basedOn w:val="VerbatimChar"/>
    <w:rsid w:val="00B63DE3"/>
    <w:rPr>
      <w:color w:val="BB6688"/>
    </w:rPr>
  </w:style>
  <w:style w:type="character" w:customStyle="1" w:styleId="ImportTok">
    <w:name w:val="ImportTok"/>
    <w:basedOn w:val="VerbatimChar"/>
    <w:rsid w:val="00B63DE3"/>
  </w:style>
  <w:style w:type="character" w:customStyle="1" w:styleId="CommentTok">
    <w:name w:val="CommentTok"/>
    <w:basedOn w:val="VerbatimChar"/>
    <w:rsid w:val="00B63DE3"/>
    <w:rPr>
      <w:i/>
      <w:color w:val="60A0B0"/>
    </w:rPr>
  </w:style>
  <w:style w:type="character" w:customStyle="1" w:styleId="DocumentationTok">
    <w:name w:val="DocumentationTok"/>
    <w:basedOn w:val="VerbatimChar"/>
    <w:rsid w:val="00B63DE3"/>
    <w:rPr>
      <w:i/>
      <w:color w:val="BA2121"/>
    </w:rPr>
  </w:style>
  <w:style w:type="character" w:customStyle="1" w:styleId="AnnotationTok">
    <w:name w:val="AnnotationTok"/>
    <w:basedOn w:val="VerbatimChar"/>
    <w:rsid w:val="00B63DE3"/>
    <w:rPr>
      <w:b/>
      <w:i/>
      <w:color w:val="60A0B0"/>
    </w:rPr>
  </w:style>
  <w:style w:type="character" w:customStyle="1" w:styleId="CommentVarTok">
    <w:name w:val="CommentVarTok"/>
    <w:basedOn w:val="VerbatimChar"/>
    <w:rsid w:val="00B63DE3"/>
    <w:rPr>
      <w:b/>
      <w:i/>
      <w:color w:val="60A0B0"/>
    </w:rPr>
  </w:style>
  <w:style w:type="character" w:customStyle="1" w:styleId="OtherTok">
    <w:name w:val="OtherTok"/>
    <w:basedOn w:val="VerbatimChar"/>
    <w:rsid w:val="00B63DE3"/>
    <w:rPr>
      <w:color w:val="007020"/>
    </w:rPr>
  </w:style>
  <w:style w:type="character" w:customStyle="1" w:styleId="FunctionTok">
    <w:name w:val="FunctionTok"/>
    <w:basedOn w:val="VerbatimChar"/>
    <w:rsid w:val="00B63DE3"/>
    <w:rPr>
      <w:color w:val="06287E"/>
    </w:rPr>
  </w:style>
  <w:style w:type="character" w:customStyle="1" w:styleId="VariableTok">
    <w:name w:val="VariableTok"/>
    <w:basedOn w:val="VerbatimChar"/>
    <w:rsid w:val="00B63DE3"/>
    <w:rPr>
      <w:color w:val="19177C"/>
    </w:rPr>
  </w:style>
  <w:style w:type="character" w:customStyle="1" w:styleId="ControlFlowTok">
    <w:name w:val="ControlFlowTok"/>
    <w:basedOn w:val="VerbatimChar"/>
    <w:rsid w:val="00B63DE3"/>
    <w:rPr>
      <w:b/>
      <w:color w:val="007020"/>
    </w:rPr>
  </w:style>
  <w:style w:type="character" w:customStyle="1" w:styleId="OperatorTok">
    <w:name w:val="OperatorTok"/>
    <w:basedOn w:val="VerbatimChar"/>
    <w:rsid w:val="00B63DE3"/>
    <w:rPr>
      <w:color w:val="666666"/>
    </w:rPr>
  </w:style>
  <w:style w:type="character" w:customStyle="1" w:styleId="BuiltInTok">
    <w:name w:val="BuiltInTok"/>
    <w:basedOn w:val="VerbatimChar"/>
    <w:rsid w:val="00B63DE3"/>
  </w:style>
  <w:style w:type="character" w:customStyle="1" w:styleId="ExtensionTok">
    <w:name w:val="ExtensionTok"/>
    <w:basedOn w:val="VerbatimChar"/>
    <w:rsid w:val="00B63DE3"/>
  </w:style>
  <w:style w:type="character" w:customStyle="1" w:styleId="PreprocessorTok">
    <w:name w:val="PreprocessorTok"/>
    <w:basedOn w:val="VerbatimChar"/>
    <w:rsid w:val="00B63DE3"/>
    <w:rPr>
      <w:color w:val="BC7A00"/>
    </w:rPr>
  </w:style>
  <w:style w:type="character" w:customStyle="1" w:styleId="AttributeTok">
    <w:name w:val="AttributeTok"/>
    <w:basedOn w:val="VerbatimChar"/>
    <w:rsid w:val="00B63DE3"/>
    <w:rPr>
      <w:color w:val="7D9029"/>
    </w:rPr>
  </w:style>
  <w:style w:type="character" w:customStyle="1" w:styleId="RegionMarkerTok">
    <w:name w:val="RegionMarkerTok"/>
    <w:basedOn w:val="VerbatimChar"/>
    <w:rsid w:val="00B63DE3"/>
  </w:style>
  <w:style w:type="character" w:customStyle="1" w:styleId="InformationTok">
    <w:name w:val="InformationTok"/>
    <w:basedOn w:val="VerbatimChar"/>
    <w:rsid w:val="00B63DE3"/>
    <w:rPr>
      <w:b/>
      <w:i/>
      <w:color w:val="60A0B0"/>
    </w:rPr>
  </w:style>
  <w:style w:type="character" w:customStyle="1" w:styleId="WarningTok">
    <w:name w:val="WarningTok"/>
    <w:basedOn w:val="VerbatimChar"/>
    <w:rsid w:val="00B63DE3"/>
    <w:rPr>
      <w:b/>
      <w:i/>
      <w:color w:val="60A0B0"/>
    </w:rPr>
  </w:style>
  <w:style w:type="character" w:customStyle="1" w:styleId="AlertTok">
    <w:name w:val="AlertTok"/>
    <w:basedOn w:val="VerbatimChar"/>
    <w:rsid w:val="00B63DE3"/>
    <w:rPr>
      <w:b/>
      <w:color w:val="FF0000"/>
    </w:rPr>
  </w:style>
  <w:style w:type="character" w:customStyle="1" w:styleId="ErrorTok">
    <w:name w:val="ErrorTok"/>
    <w:basedOn w:val="VerbatimChar"/>
    <w:rsid w:val="00B63DE3"/>
    <w:rPr>
      <w:b/>
      <w:color w:val="FF0000"/>
    </w:rPr>
  </w:style>
  <w:style w:type="character" w:customStyle="1" w:styleId="NormalTok">
    <w:name w:val="NormalTok"/>
    <w:basedOn w:val="VerbatimChar"/>
    <w:rsid w:val="00B63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2277</Words>
  <Characters>12982</Characters>
  <Application>Microsoft Office Word</Application>
  <DocSecurity>0</DocSecurity>
  <Lines>108</Lines>
  <Paragraphs>30</Paragraphs>
  <ScaleCrop>false</ScaleCrop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2019-05-13T08:17:00Z</dcterms:created>
  <dcterms:modified xsi:type="dcterms:W3CDTF">2019-05-13T08:17:00Z</dcterms:modified>
</cp:coreProperties>
</file>